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BCA" w:rsidRPr="00212BCA" w:rsidRDefault="00212BCA" w:rsidP="00212BCA">
      <w:pPr>
        <w:jc w:val="both"/>
        <w:rPr>
          <w:rFonts w:ascii="Arial" w:hAnsi="Arial" w:cs="Arial"/>
          <w:sz w:val="28"/>
          <w:szCs w:val="28"/>
        </w:rPr>
      </w:pPr>
      <w:r w:rsidRPr="00212BCA">
        <w:rPr>
          <w:rFonts w:ascii="Arial" w:hAnsi="Arial" w:cs="Arial"/>
          <w:sz w:val="28"/>
          <w:szCs w:val="28"/>
        </w:rPr>
        <w:t>Neuausrichtung des Stabilitas Gold+Resourcen Fonds (zukünftig Electrum Fund)</w:t>
      </w:r>
    </w:p>
    <w:p w:rsidR="00212BCA" w:rsidRPr="00212BCA" w:rsidRDefault="00212BCA" w:rsidP="00212BCA">
      <w:pPr>
        <w:jc w:val="both"/>
        <w:rPr>
          <w:rFonts w:ascii="Arial" w:hAnsi="Arial" w:cs="Arial"/>
          <w:sz w:val="24"/>
          <w:szCs w:val="24"/>
        </w:rPr>
      </w:pPr>
    </w:p>
    <w:p w:rsidR="00212BCA" w:rsidRPr="00212BCA" w:rsidRDefault="00212BCA" w:rsidP="00212BCA">
      <w:pPr>
        <w:jc w:val="both"/>
        <w:rPr>
          <w:rFonts w:ascii="Arial" w:hAnsi="Arial" w:cs="Arial"/>
          <w:sz w:val="24"/>
          <w:szCs w:val="24"/>
        </w:rPr>
      </w:pPr>
      <w:r w:rsidRPr="00212BCA">
        <w:rPr>
          <w:rFonts w:ascii="Arial" w:hAnsi="Arial" w:cs="Arial"/>
          <w:sz w:val="24"/>
          <w:szCs w:val="24"/>
        </w:rPr>
        <w:t>Die Stabilitas GmbH hat Maßnahmen beschlossen, um den Aufbau des Stabilitas Gold+Resourcen Fonds (zukünftig: Electrum Fund) zu beschleunigen.</w:t>
      </w:r>
      <w:r w:rsidR="007F0D13">
        <w:rPr>
          <w:rFonts w:ascii="Arial" w:hAnsi="Arial" w:cs="Arial"/>
          <w:sz w:val="24"/>
          <w:szCs w:val="24"/>
        </w:rPr>
        <w:t xml:space="preserve"> Der Name soll in Electrum Fund umbenannt werden. Electrum steht für eine natürlich vorkommende Legierung aus Gold und Silber.</w:t>
      </w:r>
    </w:p>
    <w:p w:rsidR="00212BCA" w:rsidRPr="00212BCA" w:rsidRDefault="00212BCA" w:rsidP="00212BCA">
      <w:pPr>
        <w:jc w:val="both"/>
        <w:rPr>
          <w:rFonts w:ascii="Arial" w:hAnsi="Arial" w:cs="Arial"/>
          <w:sz w:val="24"/>
          <w:szCs w:val="24"/>
        </w:rPr>
      </w:pPr>
    </w:p>
    <w:p w:rsidR="00212BCA" w:rsidRDefault="00212BCA" w:rsidP="00212BCA">
      <w:pPr>
        <w:jc w:val="both"/>
        <w:rPr>
          <w:rFonts w:ascii="Arial" w:hAnsi="Arial" w:cs="Arial"/>
          <w:sz w:val="24"/>
          <w:szCs w:val="24"/>
        </w:rPr>
      </w:pPr>
      <w:r w:rsidRPr="00212BCA">
        <w:rPr>
          <w:rFonts w:ascii="Arial" w:hAnsi="Arial" w:cs="Arial"/>
          <w:sz w:val="24"/>
          <w:szCs w:val="24"/>
        </w:rPr>
        <w:t>Um ein höheres Fondsvolumen zu erreichen, ist für den Fonds eine Kooperation mit der Fondsgesellschaft Baker Steel Capital Managers (Baker Steel) vorgesehen. Baker Steel, mit dem wir seit langem freundschaftlich verbunden sind, verfolgt eine ähnliche Anlagephilosophie wie die Stabilitas GmbH.</w:t>
      </w:r>
    </w:p>
    <w:p w:rsidR="007F0D13" w:rsidRPr="00212BCA" w:rsidRDefault="007F0D13" w:rsidP="00212BCA">
      <w:pPr>
        <w:jc w:val="both"/>
        <w:rPr>
          <w:rFonts w:ascii="Arial" w:hAnsi="Arial" w:cs="Arial"/>
          <w:sz w:val="24"/>
          <w:szCs w:val="24"/>
        </w:rPr>
      </w:pPr>
    </w:p>
    <w:p w:rsidR="00212BCA" w:rsidRPr="00212BCA" w:rsidRDefault="00212BCA" w:rsidP="00212BCA">
      <w:pPr>
        <w:jc w:val="both"/>
        <w:rPr>
          <w:rFonts w:ascii="Arial" w:hAnsi="Arial" w:cs="Arial"/>
          <w:sz w:val="24"/>
          <w:szCs w:val="24"/>
        </w:rPr>
      </w:pPr>
      <w:r w:rsidRPr="00212BCA">
        <w:rPr>
          <w:rFonts w:ascii="Arial" w:hAnsi="Arial" w:cs="Arial"/>
          <w:color w:val="FF0000"/>
          <w:sz w:val="24"/>
          <w:szCs w:val="24"/>
        </w:rPr>
        <w:t xml:space="preserve">An dem Anlageziel, der Anlagephilosophie und der generellen Portfoliostruktur wird </w:t>
      </w:r>
      <w:bookmarkStart w:id="0" w:name="_GoBack"/>
      <w:bookmarkEnd w:id="0"/>
      <w:r w:rsidRPr="00212BCA">
        <w:rPr>
          <w:rFonts w:ascii="Arial" w:hAnsi="Arial" w:cs="Arial"/>
          <w:color w:val="FF0000"/>
          <w:sz w:val="24"/>
          <w:szCs w:val="24"/>
        </w:rPr>
        <w:t>sich auch unter der Ägide von Baker Steel nichts ändern</w:t>
      </w:r>
      <w:r w:rsidRPr="00212BCA">
        <w:rPr>
          <w:rFonts w:ascii="Arial" w:hAnsi="Arial" w:cs="Arial"/>
          <w:sz w:val="24"/>
          <w:szCs w:val="24"/>
        </w:rPr>
        <w:t>. Allerdings wird der neue Manager eine besondere Expertise im Hinblick auf sogenannte elektrische Metalle in den Anlageprozess einbringen, was im Hinblick auf die Zukunft erneuerbarer Energien und Elektromobilität von Vorteil für die Performance sein kann. Ein hoher Anteil des Portfolios wird weiterhin in Edelmetallaktien investiert bleiben. Die Stabilitas GmbH wird</w:t>
      </w:r>
      <w:r w:rsidR="0060506D">
        <w:rPr>
          <w:rFonts w:ascii="Arial" w:hAnsi="Arial" w:cs="Arial"/>
          <w:sz w:val="24"/>
          <w:szCs w:val="24"/>
        </w:rPr>
        <w:t xml:space="preserve"> Mitglied</w:t>
      </w:r>
      <w:r w:rsidRPr="00212BCA">
        <w:rPr>
          <w:rFonts w:ascii="Arial" w:hAnsi="Arial" w:cs="Arial"/>
          <w:sz w:val="24"/>
          <w:szCs w:val="24"/>
        </w:rPr>
        <w:t xml:space="preserve"> </w:t>
      </w:r>
      <w:r w:rsidR="0060506D">
        <w:rPr>
          <w:rFonts w:ascii="Arial" w:hAnsi="Arial" w:cs="Arial"/>
          <w:sz w:val="24"/>
          <w:szCs w:val="24"/>
        </w:rPr>
        <w:t>im Anlageausschuss des</w:t>
      </w:r>
      <w:r w:rsidRPr="00212BCA">
        <w:rPr>
          <w:rFonts w:ascii="Arial" w:hAnsi="Arial" w:cs="Arial"/>
          <w:sz w:val="24"/>
          <w:szCs w:val="24"/>
        </w:rPr>
        <w:t xml:space="preserve"> Electrum Fund </w:t>
      </w:r>
      <w:r w:rsidR="0060506D">
        <w:rPr>
          <w:rFonts w:ascii="Arial" w:hAnsi="Arial" w:cs="Arial"/>
          <w:sz w:val="24"/>
          <w:szCs w:val="24"/>
        </w:rPr>
        <w:t>sein</w:t>
      </w:r>
      <w:r w:rsidRPr="00212BCA">
        <w:rPr>
          <w:rFonts w:ascii="Arial" w:hAnsi="Arial" w:cs="Arial"/>
          <w:sz w:val="24"/>
          <w:szCs w:val="24"/>
        </w:rPr>
        <w:t xml:space="preserve"> und damit einen Einfluss auf die bisherigen Anlagegelder behalten.</w:t>
      </w:r>
      <w:r>
        <w:rPr>
          <w:rFonts w:ascii="Arial" w:hAnsi="Arial" w:cs="Arial"/>
          <w:sz w:val="24"/>
          <w:szCs w:val="24"/>
        </w:rPr>
        <w:t xml:space="preserve"> </w:t>
      </w:r>
      <w:r w:rsidRPr="00212BCA">
        <w:rPr>
          <w:rFonts w:ascii="Arial" w:hAnsi="Arial" w:cs="Arial"/>
          <w:sz w:val="24"/>
          <w:szCs w:val="24"/>
        </w:rPr>
        <w:t>Sparpläne laufen auch unter dem Namen Electrum Fund weiter.</w:t>
      </w:r>
    </w:p>
    <w:p w:rsidR="00212BCA" w:rsidRPr="00212BCA" w:rsidRDefault="00212BCA" w:rsidP="00212BCA">
      <w:pPr>
        <w:jc w:val="both"/>
        <w:rPr>
          <w:rFonts w:ascii="Arial" w:hAnsi="Arial" w:cs="Arial"/>
          <w:sz w:val="24"/>
          <w:szCs w:val="24"/>
        </w:rPr>
      </w:pPr>
    </w:p>
    <w:p w:rsidR="00212BCA" w:rsidRPr="00212BCA" w:rsidRDefault="00212BCA" w:rsidP="00212BCA">
      <w:pPr>
        <w:jc w:val="both"/>
        <w:rPr>
          <w:rFonts w:ascii="Arial" w:hAnsi="Arial" w:cs="Arial"/>
          <w:sz w:val="24"/>
          <w:szCs w:val="24"/>
        </w:rPr>
      </w:pPr>
      <w:r w:rsidRPr="00212BCA">
        <w:rPr>
          <w:rFonts w:ascii="Arial" w:hAnsi="Arial" w:cs="Arial"/>
          <w:sz w:val="24"/>
          <w:szCs w:val="24"/>
        </w:rPr>
        <w:t>Die Stabilitas GmbH empfiehlt, den Fonds zu behalten und hofft auf Ihr Vertrauen in die Neuausrichtung des Fonds.</w:t>
      </w:r>
    </w:p>
    <w:sectPr w:rsidR="00212BCA" w:rsidRPr="00212B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CA"/>
    <w:rsid w:val="00212BCA"/>
    <w:rsid w:val="0060506D"/>
    <w:rsid w:val="007F0D13"/>
    <w:rsid w:val="00E56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B273"/>
  <w15:chartTrackingRefBased/>
  <w15:docId w15:val="{F63C0EAA-0B1C-4184-960D-C8BD31BE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2BC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0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Martin.Siegel</dc:creator>
  <cp:keywords/>
  <dc:description/>
  <cp:lastModifiedBy>Martin.Siegel</cp:lastModifiedBy>
  <cp:revision>2</cp:revision>
  <dcterms:created xsi:type="dcterms:W3CDTF">2019-02-04T14:54:00Z</dcterms:created>
  <dcterms:modified xsi:type="dcterms:W3CDTF">2019-02-04T14:54:00Z</dcterms:modified>
</cp:coreProperties>
</file>